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/>
    <w:tbl>
      <w:tblPr>
        <w:tblStyle w:val="6"/>
        <w:tblW w:w="8306" w:type="dxa"/>
        <w:tblCellSpacing w:w="0" w:type="dxa"/>
        <w:tblBorders>
          <w:top w:val="none" w:color="auto" w:sz="0" w:space="0"/>
          <w:left w:val="none" w:color="auto" w:sz="0" w:space="0"/>
          <w:bottom w:val="single" w:color="CCCCCC" w:sz="6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8306" w:type="dxa"/>
            <w:vAlign w:val="center"/>
          </w:tcPr>
          <w:p>
            <w:pPr>
              <w:widowControl/>
              <w:spacing w:after="150" w:line="525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32"/>
                <w:szCs w:val="32"/>
              </w:rPr>
              <w:t>国家税务总局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32"/>
                <w:szCs w:val="32"/>
              </w:rPr>
              <w:t>关于调整增值税纳税申报有关事项的公告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8306" w:type="dxa"/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国家税务总局公告2014年第45号</w:t>
            </w:r>
          </w:p>
        </w:tc>
      </w:tr>
    </w:tbl>
    <w:p>
      <w:pPr>
        <w:widowControl/>
        <w:spacing w:line="360" w:lineRule="atLeast"/>
        <w:jc w:val="left"/>
        <w:rPr>
          <w:rFonts w:hint="eastAsia" w:ascii="微软雅黑" w:hAnsi="微软雅黑" w:eastAsia="微软雅黑" w:cs="微软雅黑"/>
          <w:vanish/>
          <w:color w:val="000000"/>
          <w:kern w:val="0"/>
          <w:sz w:val="24"/>
          <w:szCs w:val="24"/>
        </w:rPr>
      </w:pPr>
    </w:p>
    <w:tbl>
      <w:tblPr>
        <w:tblStyle w:val="6"/>
        <w:tblW w:w="8306" w:type="dxa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　　为满足营业税改征增值税（以下简称营改增）试点纳税人汇总申报缴纳增值税的需要，国家税务总局对增值税纳税申报有关事项进行了调整，现公告如下： 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　　一、在《国家税务总局关于调整增值税纳税申报有关事项的公告》（国家税务总局公告2013年第32号）附件1《增值税纳税申报表附列资料（一）》中增设“预征率%”行次，修改后的表式见附件。其中，第13a行“预征率%”适用于所有实行汇总计算缴纳增值税的分支机构试点纳税人；第13b、13c行“预征率%”适用于部分实行汇总计算缴纳增值税的铁路运输试点纳税人。 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　　二、本公告自2014年10月1日起施行。 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　　特此公告。 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 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　附件：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instrText xml:space="preserve">HYPERLINK "http://www.chinatax.gov.cn/n2226/n2271/n2272/c762765/part/762785.xls" </w:instrTex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</w:rPr>
              <w:t>增值税纳税申报表附列资料（一）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spacing w:before="100" w:beforeAutospacing="1" w:after="100" w:afterAutospacing="1" w:line="450" w:lineRule="atLeast"/>
              <w:jc w:val="righ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国家税务总局 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2014年7月25日  </w:t>
            </w:r>
          </w:p>
          <w:p>
            <w:pPr>
              <w:widowControl/>
              <w:spacing w:before="100" w:beforeAutospacing="1" w:after="100" w:afterAutospacing="1" w:line="45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　链接：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instrText xml:space="preserve">HYPERLINK "http://www.chinatax.gov.cn/n2226/n2271/n2273/c762744/content.html" </w:instrTex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</w:rPr>
              <w:t>相关政策解读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8306" w:type="dxa"/>
            <w:vAlign w:val="center"/>
          </w:tcPr>
          <w:p>
            <w:pPr>
              <w:widowControl/>
              <w:spacing w:line="525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3A9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3A94"/>
                <w:kern w:val="0"/>
                <w:sz w:val="24"/>
                <w:szCs w:val="24"/>
              </w:rPr>
              <w:t xml:space="preserve">关于《国家税务总局关于调整增值税纳税申报有关事项的公告》的解读 </w:t>
            </w:r>
          </w:p>
        </w:tc>
      </w:tr>
    </w:tbl>
    <w:p>
      <w:pPr>
        <w:widowControl/>
        <w:spacing w:line="360" w:lineRule="atLeast"/>
        <w:jc w:val="left"/>
        <w:rPr>
          <w:rFonts w:hint="eastAsia" w:ascii="微软雅黑" w:hAnsi="微软雅黑" w:eastAsia="微软雅黑" w:cs="微软雅黑"/>
          <w:vanish/>
          <w:color w:val="000000"/>
          <w:kern w:val="0"/>
          <w:sz w:val="24"/>
          <w:szCs w:val="24"/>
        </w:rPr>
      </w:pPr>
    </w:p>
    <w:tbl>
      <w:tblPr>
        <w:tblStyle w:val="6"/>
        <w:tblW w:w="8306" w:type="dxa"/>
        <w:tblCellSpacing w:w="0" w:type="dxa"/>
        <w:tblBorders>
          <w:top w:val="none" w:color="auto" w:sz="0" w:space="0"/>
          <w:left w:val="none" w:color="auto" w:sz="0" w:space="0"/>
          <w:bottom w:val="single" w:color="CCCCCC" w:sz="6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8306" w:type="dxa"/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微软雅黑" w:hAnsi="微软雅黑" w:eastAsia="微软雅黑" w:cs="微软雅黑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4"/>
                <w:szCs w:val="24"/>
              </w:rPr>
              <w:t xml:space="preserve">发布日期：2014年08月04日                  来源：国家税务总局办公厅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8306" w:type="dxa"/>
            <w:vAlign w:val="center"/>
          </w:tcPr>
          <w:p>
            <w:pPr>
              <w:widowControl/>
              <w:spacing w:after="150" w:line="360" w:lineRule="atLeast"/>
              <w:jc w:val="righ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字体：【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instrText xml:space="preserve">HYPERLINK "http://www.chinatax.gov.cn/n2226/n2271/n2273/c762744/content.html" </w:instrTex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</w:rPr>
              <w:t>大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】【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instrText xml:space="preserve">HYPERLINK "http://www.chinatax.gov.cn/n2226/n2271/n2273/c762744/content.html" </w:instrTex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</w:rPr>
              <w:t>中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】【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instrText xml:space="preserve">HYPERLINK "http://www.chinatax.gov.cn/n2226/n2271/n2273/c762744/content.html" </w:instrTex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</w:rPr>
              <w:t>小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】</w:t>
            </w:r>
          </w:p>
        </w:tc>
      </w:tr>
    </w:tbl>
    <w:p>
      <w:pPr>
        <w:widowControl/>
        <w:spacing w:line="360" w:lineRule="atLeast"/>
        <w:jc w:val="left"/>
        <w:rPr>
          <w:rFonts w:hint="eastAsia" w:ascii="微软雅黑" w:hAnsi="微软雅黑" w:eastAsia="微软雅黑" w:cs="微软雅黑"/>
          <w:vanish/>
          <w:color w:val="000000"/>
          <w:kern w:val="0"/>
          <w:sz w:val="24"/>
          <w:szCs w:val="24"/>
        </w:rPr>
      </w:pPr>
    </w:p>
    <w:tbl>
      <w:tblPr>
        <w:tblStyle w:val="6"/>
        <w:tblW w:w="8306" w:type="dxa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　为满足营业税改征增值税（以下简称营改增）试点纳税人汇总申报缴纳增值税的需要，我们发布了《国家税务总局关于调整增值税纳税申报有关事项的公告》（以下简称公告），现解读如下：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　一、公告主要内容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　公告的主要内容是调整《国家税务总局关于调整增值税纳税申报有关事项的公告》（国家税务总局公告2013年第32号）附件1《增值税纳税申报表附列资料（一）》表式，增加“预征率 %”行次，由原来的1行变成3行，以满足税收政策调整而产生的新申报需求。其中，第13a行“预征率 %”适用于所有实行汇总计算缴纳增值税的分支机构试点纳税人；第13b、13c行“预征率 %”适用于部分实行汇总计算缴纳增值税的铁路运输试点纳税人。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　二、有关简并征收率的说明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　按照《国家税务总局关于简并增值税征收率有关问题的公告》（国家税务总局公告2014年第36号）规定，自2014年7月1日起，对适用简易办法计算应纳税额的征收率进行了简并，考虑到纳税人可能会出现自查补缴以前所属期税款的情形，我们保留了《增值税纳税申报表附列资料（一）》中6%、4%征收率的相应栏次，以方便纳税人填报。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tbl>
      <w:tblPr>
        <w:tblW w:w="157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7"/>
        <w:gridCol w:w="605"/>
        <w:gridCol w:w="2672"/>
        <w:gridCol w:w="1"/>
        <w:gridCol w:w="503"/>
        <w:gridCol w:w="1"/>
        <w:gridCol w:w="927"/>
        <w:gridCol w:w="1"/>
        <w:gridCol w:w="927"/>
        <w:gridCol w:w="611"/>
        <w:gridCol w:w="623"/>
        <w:gridCol w:w="598"/>
        <w:gridCol w:w="635"/>
        <w:gridCol w:w="587"/>
        <w:gridCol w:w="636"/>
        <w:gridCol w:w="836"/>
        <w:gridCol w:w="510"/>
        <w:gridCol w:w="605"/>
        <w:gridCol w:w="767"/>
        <w:gridCol w:w="1162"/>
        <w:gridCol w:w="20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799" w:type="dxa"/>
            <w:gridSpan w:val="21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增值税纳税申报表附列资料（一）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5799" w:type="dxa"/>
            <w:gridSpan w:val="21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（本期销售情况明细）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5799" w:type="dxa"/>
            <w:gridSpan w:val="21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税款所属时间：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日至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785" w:type="dxa"/>
            <w:gridSpan w:val="4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纳税人名称：（公章）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   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94" w:type="dxa"/>
            <w:gridSpan w:val="5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65" w:type="dxa"/>
            <w:gridSpan w:val="6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金额单位：元至角分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428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项目及栏次</w:t>
            </w:r>
          </w:p>
        </w:tc>
        <w:tc>
          <w:tcPr>
            <w:tcW w:w="1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开具税控增值税专用发票               </w:t>
            </w:r>
          </w:p>
        </w:tc>
        <w:tc>
          <w:tcPr>
            <w:tcW w:w="123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开具其他发票</w:t>
            </w:r>
          </w:p>
        </w:tc>
        <w:tc>
          <w:tcPr>
            <w:tcW w:w="123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未开具发票</w:t>
            </w:r>
          </w:p>
        </w:tc>
        <w:tc>
          <w:tcPr>
            <w:tcW w:w="122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纳税检查调整</w:t>
            </w:r>
          </w:p>
        </w:tc>
        <w:tc>
          <w:tcPr>
            <w:tcW w:w="1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合计</w:t>
            </w:r>
          </w:p>
        </w:tc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应税服务扣除项目本期实际扣除金额</w:t>
            </w:r>
          </w:p>
        </w:tc>
        <w:tc>
          <w:tcPr>
            <w:tcW w:w="3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扣除后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428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销售额</w:t>
            </w: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销项(应纳)税额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销售额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销项(应纳)税额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销售额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销项(应纳)税额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销售额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销项(应纳)税额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销售额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销项(应纳)税额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价税合计</w:t>
            </w: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含税(免税)销售额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销项(应纳)税额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428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9=1+3+5+7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10=2+4+6+8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11=9+10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13=11-12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14=13÷(100%+税率或征收率)×税率或征收率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一、一般计税方法计税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全部征税项目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17%税率的货物及加工修理修配劳务</w:t>
            </w:r>
          </w:p>
        </w:tc>
        <w:tc>
          <w:tcPr>
            <w:tcW w:w="50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17%税率的有形动产租赁服务</w:t>
            </w:r>
          </w:p>
        </w:tc>
        <w:tc>
          <w:tcPr>
            <w:tcW w:w="50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13%税率      </w:t>
            </w:r>
          </w:p>
        </w:tc>
        <w:tc>
          <w:tcPr>
            <w:tcW w:w="50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</w:t>
            </w: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11%税率</w:t>
            </w:r>
          </w:p>
        </w:tc>
        <w:tc>
          <w:tcPr>
            <w:tcW w:w="50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</w:t>
            </w: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6%税率</w:t>
            </w:r>
          </w:p>
        </w:tc>
        <w:tc>
          <w:tcPr>
            <w:tcW w:w="50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</w:t>
            </w: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其中：即征即退项目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即征即退货物及加工修理修配劳务</w:t>
            </w:r>
          </w:p>
        </w:tc>
        <w:tc>
          <w:tcPr>
            <w:tcW w:w="50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</w:t>
            </w: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即征即退应税服务</w:t>
            </w:r>
          </w:p>
        </w:tc>
        <w:tc>
          <w:tcPr>
            <w:tcW w:w="50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</w:t>
            </w: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  <w:bookmarkStart w:id="0" w:name="_GoBack"/>
            <w:bookmarkEnd w:id="0"/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二、简易计税方法计税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全部征税项目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6%征收率</w:t>
            </w:r>
          </w:p>
        </w:tc>
        <w:tc>
          <w:tcPr>
            <w:tcW w:w="50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5%征收率</w:t>
            </w:r>
          </w:p>
        </w:tc>
        <w:tc>
          <w:tcPr>
            <w:tcW w:w="50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</w:t>
            </w: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4%征收率</w:t>
            </w:r>
          </w:p>
        </w:tc>
        <w:tc>
          <w:tcPr>
            <w:tcW w:w="50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</w:t>
            </w: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3%征收率的货物及加工修理修配劳务</w:t>
            </w:r>
          </w:p>
        </w:tc>
        <w:tc>
          <w:tcPr>
            <w:tcW w:w="50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</w:t>
            </w: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3%征收率的应税服务</w:t>
            </w:r>
          </w:p>
        </w:tc>
        <w:tc>
          <w:tcPr>
            <w:tcW w:w="50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</w:t>
            </w: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预征率   %</w:t>
            </w:r>
          </w:p>
        </w:tc>
        <w:tc>
          <w:tcPr>
            <w:tcW w:w="50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13a</w:t>
            </w: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预征率   %</w:t>
            </w:r>
          </w:p>
        </w:tc>
        <w:tc>
          <w:tcPr>
            <w:tcW w:w="50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13b</w:t>
            </w: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预征率   %</w:t>
            </w:r>
          </w:p>
        </w:tc>
        <w:tc>
          <w:tcPr>
            <w:tcW w:w="50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13c</w:t>
            </w: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FF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FF"/>
                <w:sz w:val="24"/>
                <w:szCs w:val="24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FF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FF"/>
                <w:sz w:val="24"/>
                <w:szCs w:val="24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FF"/>
                <w:sz w:val="24"/>
                <w:szCs w:val="24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FF"/>
                <w:sz w:val="24"/>
                <w:szCs w:val="24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FF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FF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FF"/>
                <w:sz w:val="24"/>
                <w:szCs w:val="24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FF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FF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FF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其中：即征即退项目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即征即退货物及加工修理修配劳务</w:t>
            </w:r>
          </w:p>
        </w:tc>
        <w:tc>
          <w:tcPr>
            <w:tcW w:w="50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14</w:t>
            </w: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即征即退应税服务 </w:t>
            </w:r>
          </w:p>
        </w:tc>
        <w:tc>
          <w:tcPr>
            <w:tcW w:w="50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15</w:t>
            </w: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三、免抵退税</w:t>
            </w:r>
          </w:p>
        </w:tc>
        <w:tc>
          <w:tcPr>
            <w:tcW w:w="3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货物及加工修理修配劳务</w:t>
            </w:r>
          </w:p>
        </w:tc>
        <w:tc>
          <w:tcPr>
            <w:tcW w:w="50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16</w:t>
            </w: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应税服务</w:t>
            </w:r>
          </w:p>
        </w:tc>
        <w:tc>
          <w:tcPr>
            <w:tcW w:w="50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17</w:t>
            </w: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四、免税</w:t>
            </w:r>
          </w:p>
        </w:tc>
        <w:tc>
          <w:tcPr>
            <w:tcW w:w="3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货物及加工修理修配劳务</w:t>
            </w:r>
          </w:p>
        </w:tc>
        <w:tc>
          <w:tcPr>
            <w:tcW w:w="50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18</w:t>
            </w: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应税服务</w:t>
            </w:r>
          </w:p>
        </w:tc>
        <w:tc>
          <w:tcPr>
            <w:tcW w:w="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19</w:t>
            </w: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sectPr>
      <w:footerReference r:id="rId4" w:type="default"/>
      <w:pgSz w:w="16838" w:h="11906" w:orient="landscape"/>
      <w:pgMar w:top="113" w:right="57" w:bottom="57" w:left="113" w:header="851" w:footer="992" w:gutter="0"/>
      <w:paperSrc w:first="0" w:oth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lang w:val="zh-CN"/>
      </w:rPr>
      <w:t xml:space="preserve"> </w:t>
    </w:r>
    <w:r>
      <w:rPr>
        <w:b/>
      </w:rPr>
      <w:fldChar w:fldCharType="begin"/>
    </w:r>
    <w:r>
      <w:rPr>
        <w:b/>
      </w:rPr>
      <w:instrText xml:space="preserve">PAGE  \* Arabic  \* MERGEFORMAT</w:instrText>
    </w:r>
    <w:r>
      <w:rPr>
        <w:b/>
      </w:rPr>
      <w:fldChar w:fldCharType="separate"/>
    </w:r>
    <w:r>
      <w:rPr>
        <w:b/>
        <w:lang w:val="zh-CN"/>
      </w:rPr>
      <w:t>1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 xml:space="preserve">NUMPAGES  \* Arabic  \* MERGEFORMAT</w:instrText>
    </w:r>
    <w:r>
      <w:rPr>
        <w:b/>
      </w:rPr>
      <w:fldChar w:fldCharType="separate"/>
    </w:r>
    <w:r>
      <w:rPr>
        <w:b/>
        <w:lang w:val="zh-CN"/>
      </w:rPr>
      <w:t>2</w:t>
    </w:r>
    <w:r>
      <w:rPr>
        <w:b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1438B"/>
    <w:rsid w:val="0021438B"/>
    <w:rsid w:val="00B06FD7"/>
    <w:rsid w:val="00C87816"/>
    <w:rsid w:val="4A592771"/>
    <w:rsid w:val="5A284778"/>
    <w:rsid w:val="62EF7B01"/>
    <w:rsid w:val="73DF5EAB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10">
    <w:name w:val="font01"/>
    <w:basedOn w:val="5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1">
    <w:name w:val="font31"/>
    <w:basedOn w:val="5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246</Words>
  <Characters>1406</Characters>
  <Lines>11</Lines>
  <Paragraphs>3</Paragraphs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2014-08-28T08:25:00Z</dcterms:created>
  <dc:creator>xupx</dc:creator>
  <cp:lastModifiedBy>Administrator</cp:lastModifiedBy>
  <cp:lastPrinted>2014-08-29T10:45:00Z</cp:lastPrinted>
  <dcterms:modified xsi:type="dcterms:W3CDTF">2015-04-09T05:00:47Z</dcterms:modified>
  <dc:title>国家税务总局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